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6355080" cy="18359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.cfp-bann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18359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360" w:after="100"/>
      </w:pPr>
      <w:r>
        <w:rPr>
          <w:b/>
          <w:color w:val="008F8A"/>
          <w:sz w:val="20"/>
        </w:rPr>
        <w:t>CALL FOR PAPERS</w:t>
      </w:r>
    </w:p>
    <w:p>
      <w:pPr>
        <w:spacing w:after="180"/>
      </w:pPr>
      <w:r>
        <w:rPr>
          <w:b/>
          <w:color w:val="101418"/>
          <w:sz w:val="46"/>
        </w:rPr>
        <w:t>International Conference on Intelligent Mobility, AI and Connected Systems</w:t>
      </w:r>
    </w:p>
    <w:p>
      <w:pPr>
        <w:spacing w:after="260"/>
      </w:pPr>
      <w:r>
        <w:rPr>
          <w:b w:val="0"/>
          <w:color w:val="343840"/>
          <w:sz w:val="22"/>
        </w:rPr>
        <w:t>IMACS 2027 invites original, unpublished full papers on intelligent mobility, artificial intelligence, connected systems, and smart city technologies.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51"/>
        <w:gridCol w:w="3351"/>
        <w:gridCol w:w="3351"/>
      </w:tblGrid>
      <w:tr>
        <w:tc>
          <w:tcPr>
            <w:tcW w:type="dxa" w:w="3351"/>
            <w:shd w:fill="F2F4F1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vAlign w:val="center"/>
          </w:tcPr>
          <w:p>
            <w:pPr>
              <w:spacing w:before="40" w:after="40"/>
            </w:pPr>
            <w:r>
              <w:rPr>
                <w:b/>
                <w:color w:val="008F8A"/>
                <w:sz w:val="17"/>
              </w:rPr>
              <w:t>DATES</w:t>
              <w:br/>
            </w:r>
            <w:r>
              <w:rPr>
                <w:b/>
                <w:color w:val="101418"/>
                <w:sz w:val="20"/>
              </w:rPr>
              <w:t>March 24-26, 2027</w:t>
            </w:r>
          </w:p>
        </w:tc>
        <w:tc>
          <w:tcPr>
            <w:tcW w:type="dxa" w:w="3351"/>
            <w:shd w:fill="F2F4F1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vAlign w:val="center"/>
          </w:tcPr>
          <w:p>
            <w:pPr>
              <w:spacing w:before="40" w:after="40"/>
            </w:pPr>
            <w:r>
              <w:rPr>
                <w:b/>
                <w:color w:val="008F8A"/>
                <w:sz w:val="17"/>
              </w:rPr>
              <w:t>VENUE</w:t>
              <w:br/>
            </w:r>
            <w:r>
              <w:rPr>
                <w:b/>
                <w:color w:val="101418"/>
                <w:sz w:val="20"/>
              </w:rPr>
              <w:t>Canadian University Dubai</w:t>
            </w:r>
          </w:p>
        </w:tc>
        <w:tc>
          <w:tcPr>
            <w:tcW w:type="dxa" w:w="3351"/>
            <w:shd w:fill="F2F4F1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vAlign w:val="center"/>
          </w:tcPr>
          <w:p>
            <w:pPr>
              <w:spacing w:before="40" w:after="40"/>
            </w:pPr>
            <w:r>
              <w:rPr>
                <w:b/>
                <w:color w:val="008F8A"/>
                <w:sz w:val="17"/>
              </w:rPr>
              <w:t>LOCATION</w:t>
              <w:br/>
            </w:r>
            <w:r>
              <w:rPr>
                <w:b/>
                <w:color w:val="101418"/>
                <w:sz w:val="20"/>
              </w:rPr>
              <w:t>Dubai, United Arab Emirates</w:t>
            </w:r>
          </w:p>
        </w:tc>
      </w:tr>
    </w:tbl>
    <w:p>
      <w:pPr>
        <w:spacing w:before="300" w:after="140"/>
      </w:pPr>
      <w:r>
        <w:rPr>
          <w:b/>
          <w:color w:val="008F8A"/>
          <w:sz w:val="36"/>
        </w:rPr>
        <w:t>Scope</w:t>
      </w:r>
    </w:p>
    <w:p>
      <w:pPr>
        <w:spacing w:after="140"/>
      </w:pPr>
      <w:r>
        <w:rPr>
          <w:b w:val="0"/>
          <w:color w:val="343840"/>
          <w:sz w:val="21"/>
        </w:rPr>
        <w:t>IMACS 2027 is a premier international forum for researchers, practitioners, industry leaders, technology providers, city planners, and policymakers to present and discuss advances in intelligent mobility, artificial intelligence, connected systems, and smart city technologies.</w:t>
      </w:r>
    </w:p>
    <w:p>
      <w:pPr>
        <w:spacing w:after="140"/>
      </w:pPr>
      <w:r>
        <w:rPr>
          <w:b w:val="0"/>
          <w:color w:val="343840"/>
          <w:sz w:val="21"/>
        </w:rPr>
        <w:t>The conference aims to foster interdisciplinary collaboration and facilitate the exchange of innovative ideas that will shape the future of mobility, connectivity, sustainability, and urban intelligence.</w:t>
      </w:r>
    </w:p>
    <w:p>
      <w:pPr>
        <w:spacing w:before="300" w:after="140"/>
      </w:pPr>
      <w:r>
        <w:rPr>
          <w:b/>
          <w:color w:val="008F8A"/>
          <w:sz w:val="36"/>
        </w:rPr>
        <w:t>Important Dates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26"/>
        <w:gridCol w:w="5026"/>
      </w:tblGrid>
      <w:tr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vAlign w:val="center"/>
            <w:shd w:fill="F2F4F1"/>
          </w:tcPr>
          <w:p>
            <w:r>
              <w:rPr>
                <w:b/>
                <w:color w:val="008F8A"/>
                <w:sz w:val="20"/>
              </w:rPr>
              <w:t>Paper submission deadline</w:t>
            </w:r>
          </w:p>
        </w:tc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vAlign w:val="center"/>
          </w:tcPr>
          <w:p>
            <w:r>
              <w:rPr>
                <w:b w:val="0"/>
                <w:color w:val="101418"/>
                <w:sz w:val="20"/>
              </w:rPr>
              <w:t>November 1, 2026</w:t>
            </w:r>
          </w:p>
        </w:tc>
      </w:tr>
      <w:tr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vAlign w:val="center"/>
            <w:shd w:fill="F2F4F1"/>
          </w:tcPr>
          <w:p>
            <w:r>
              <w:rPr>
                <w:b/>
                <w:color w:val="008F8A"/>
                <w:sz w:val="20"/>
              </w:rPr>
              <w:t>Notification of acceptance</w:t>
            </w:r>
          </w:p>
        </w:tc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vAlign w:val="center"/>
          </w:tcPr>
          <w:p>
            <w:r>
              <w:rPr>
                <w:b w:val="0"/>
                <w:color w:val="101418"/>
                <w:sz w:val="20"/>
              </w:rPr>
              <w:t>January 1, 2027</w:t>
            </w:r>
          </w:p>
        </w:tc>
      </w:tr>
      <w:tr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vAlign w:val="center"/>
            <w:shd w:fill="F2F4F1"/>
          </w:tcPr>
          <w:p>
            <w:r>
              <w:rPr>
                <w:b/>
                <w:color w:val="008F8A"/>
                <w:sz w:val="20"/>
              </w:rPr>
              <w:t>Camera-ready paper submission</w:t>
            </w:r>
          </w:p>
        </w:tc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vAlign w:val="center"/>
          </w:tcPr>
          <w:p>
            <w:r>
              <w:rPr>
                <w:b w:val="0"/>
                <w:color w:val="101418"/>
                <w:sz w:val="20"/>
              </w:rPr>
              <w:t>February 1, 2027</w:t>
            </w:r>
          </w:p>
        </w:tc>
      </w:tr>
      <w:tr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vAlign w:val="center"/>
            <w:shd w:fill="F2F4F1"/>
          </w:tcPr>
          <w:p>
            <w:r>
              <w:rPr>
                <w:b/>
                <w:color w:val="008F8A"/>
                <w:sz w:val="20"/>
              </w:rPr>
              <w:t>Conference dates</w:t>
            </w:r>
          </w:p>
        </w:tc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vAlign w:val="center"/>
          </w:tcPr>
          <w:p>
            <w:r>
              <w:rPr>
                <w:b w:val="0"/>
                <w:color w:val="101418"/>
                <w:sz w:val="20"/>
              </w:rPr>
              <w:t>March 24-26, 2027</w:t>
            </w:r>
          </w:p>
        </w:tc>
      </w:tr>
    </w:tbl>
    <w:p>
      <w:r>
        <w:br w:type="page"/>
      </w:r>
    </w:p>
    <w:p>
      <w:pPr>
        <w:spacing w:before="300" w:after="140"/>
      </w:pPr>
      <w:r>
        <w:rPr>
          <w:b/>
          <w:color w:val="008F8A"/>
          <w:sz w:val="36"/>
        </w:rPr>
        <w:t>Conference Tracks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26"/>
        <w:gridCol w:w="5026"/>
      </w:tblGrid>
      <w:tr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shd w:fill="FBFBF7"/>
          </w:tcPr>
          <w:p>
            <w:r>
              <w:rPr>
                <w:b/>
                <w:color w:val="101418"/>
                <w:sz w:val="22"/>
              </w:rPr>
              <w:t>Intelligent Mobility and Transportation Systems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AI and machine learning for transportation systems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Connected and autonomous vehicles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V2X communications and cooperative perception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Smart logistics, MaaS, safety, and traffic control</w:t>
            </w:r>
          </w:p>
        </w:tc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shd w:fill="FBFBF7"/>
          </w:tcPr>
          <w:p>
            <w:r>
              <w:rPr>
                <w:b/>
                <w:color w:val="101418"/>
                <w:sz w:val="22"/>
              </w:rPr>
              <w:t>Artificial Intelligence and Data-Driven Systems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Foundation models, generative AI, and LLMs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Edge AI, distributed intelligence, and multi-agent systems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Spatio-temporal analytics and real-time stream processing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Explainable, trustworthy, and privacy-preserving AI</w:t>
            </w:r>
          </w:p>
        </w:tc>
      </w:tr>
    </w:tbl>
    <w:p>
      <w:pPr>
        <w:spacing w:after="6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026"/>
        <w:gridCol w:w="5026"/>
      </w:tblGrid>
      <w:tr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shd w:fill="FBFBF7"/>
          </w:tcPr>
          <w:p>
            <w:r>
              <w:rPr>
                <w:b/>
                <w:color w:val="101418"/>
                <w:sz w:val="22"/>
              </w:rPr>
              <w:t>Connected Systems and Smart Infrastructure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IoT, edge-cloud computing, and 5G/6G systems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Cyber-physical systems and digital twins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Smart city platforms, energy systems, and buildings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Cybersecurity, interoperability, and resilient infrastructure</w:t>
            </w:r>
          </w:p>
        </w:tc>
        <w:tc>
          <w:tcPr>
            <w:tcW w:type="dxa" w:w="5026"/>
            <w:tcBorders>
              <w:top w:val="single" w:sz="6" w:space="0" w:color="DEDFDA"/>
              <w:left w:val="single" w:sz="6" w:space="0" w:color="DEDFDA"/>
              <w:bottom w:val="single" w:sz="6" w:space="0" w:color="DEDFDA"/>
              <w:right w:val="single" w:sz="6" w:space="0" w:color="DEDFDA"/>
            </w:tcBorders>
            <w:shd w:fill="FBFBF7"/>
          </w:tcPr>
          <w:p>
            <w:r>
              <w:rPr>
                <w:b/>
                <w:color w:val="101418"/>
                <w:sz w:val="22"/>
              </w:rPr>
              <w:t>Policy, Governance and Societal Impact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AI governance, standards, and regulatory frameworks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Mobility data sharing, privacy, and ethical AI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Public policy, accessibility, and smart city governance</w:t>
            </w:r>
          </w:p>
          <w:p>
            <w:pPr>
              <w:pStyle w:val="ListBullet"/>
              <w:spacing w:after="0"/>
            </w:pPr>
            <w:r>
              <w:rPr>
                <w:b w:val="0"/>
                <w:color w:val="343840"/>
                <w:sz w:val="18"/>
              </w:rPr>
              <w:t>Workforce transformation and digital inclusion</w:t>
            </w:r>
          </w:p>
        </w:tc>
      </w:tr>
    </w:tbl>
    <w:p>
      <w:pPr>
        <w:spacing w:after="60"/>
      </w:pPr>
    </w:p>
    <w:p>
      <w:pPr>
        <w:spacing w:before="300" w:after="140"/>
      </w:pPr>
      <w:r>
        <w:rPr>
          <w:b/>
          <w:color w:val="008F8A"/>
          <w:sz w:val="36"/>
        </w:rPr>
        <w:t>Submission and Publication</w:t>
      </w:r>
    </w:p>
    <w:p>
      <w:pPr>
        <w:pStyle w:val="ListBullet"/>
        <w:spacing w:after="20"/>
      </w:pPr>
      <w:r>
        <w:rPr>
          <w:b w:val="0"/>
          <w:color w:val="101418"/>
          <w:sz w:val="20"/>
        </w:rPr>
        <w:t>Authors are invited to submit original, unpublished full papers describing completed or ongoing research.</w:t>
      </w:r>
    </w:p>
    <w:p>
      <w:pPr>
        <w:pStyle w:val="ListBullet"/>
        <w:spacing w:after="20"/>
      </w:pPr>
      <w:r>
        <w:rPr>
          <w:b w:val="0"/>
          <w:color w:val="101418"/>
          <w:sz w:val="20"/>
        </w:rPr>
        <w:t>All submissions will undergo a rigorous peer-review process by at least three independent reviewers.</w:t>
      </w:r>
    </w:p>
    <w:p>
      <w:pPr>
        <w:pStyle w:val="ListBullet"/>
        <w:spacing w:after="20"/>
      </w:pPr>
      <w:r>
        <w:rPr>
          <w:b w:val="0"/>
          <w:color w:val="101418"/>
          <w:sz w:val="20"/>
        </w:rPr>
        <w:t>Publication and proceedings details will be announced after approvals and proceedings arrangements are finalized.</w:t>
      </w:r>
    </w:p>
    <w:p>
      <w:pPr>
        <w:spacing w:before="300" w:after="140"/>
      </w:pPr>
      <w:r>
        <w:rPr>
          <w:b/>
          <w:color w:val="008F8A"/>
          <w:sz w:val="36"/>
        </w:rPr>
        <w:t>Publication Details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52"/>
      </w:tblGrid>
      <w:tr>
        <w:tc>
          <w:tcPr>
            <w:tcW w:type="dxa" w:w="10052"/>
            <w:tcBorders>
              <w:top w:val="single" w:sz="6" w:space="0" w:color="D7FB55"/>
              <w:left w:val="single" w:sz="6" w:space="0" w:color="D7FB55"/>
              <w:bottom w:val="single" w:sz="6" w:space="0" w:color="D7FB55"/>
              <w:right w:val="single" w:sz="6" w:space="0" w:color="D7FB55"/>
            </w:tcBorders>
            <w:shd w:fill="F7FFE4"/>
          </w:tcPr>
          <w:p>
            <w:r>
              <w:rPr>
                <w:b w:val="0"/>
                <w:color w:val="343840"/>
                <w:sz w:val="20"/>
              </w:rPr>
              <w:t>Final publication, proceedings, indexing, and submission instructions will be published after approvals and proceedings arrangements are finalized.</w:t>
            </w:r>
          </w:p>
        </w:tc>
      </w:tr>
    </w:tbl>
    <w:p>
      <w:pPr>
        <w:spacing w:before="320"/>
        <w:jc w:val="center"/>
      </w:pPr>
      <w:r>
        <w:rPr>
          <w:b w:val="0"/>
          <w:color w:val="626770"/>
          <w:sz w:val="18"/>
        </w:rPr>
        <w:t>Contact: info@ieee-imacs.org  |  Website: https://ieee-imacs.org/  |  Canadian University Dubai, City Walk, Dubai, UAE</w:t>
      </w:r>
    </w:p>
    <w:sectPr w:rsidR="00FC693F" w:rsidRPr="0006063C" w:rsidSect="00034616">
      <w:pgSz w:w="12240" w:h="15840"/>
      <w:pgMar w:top="1037" w:right="1094" w:bottom="1037" w:left="10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